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7A" w:rsidRDefault="008C45C1" w:rsidP="008C45C1">
      <w:pPr>
        <w:pStyle w:val="Title"/>
      </w:pPr>
      <w:r>
        <w:t>Example 01 marks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420"/>
        <w:rPr>
          <w:rFonts w:ascii="Helvetica Neue" w:hAnsi="Helvetica Neue" w:cs="Helvetica Neue"/>
          <w:b/>
          <w:bCs/>
          <w:color w:val="757575"/>
          <w:sz w:val="44"/>
          <w:szCs w:val="44"/>
        </w:rPr>
      </w:pPr>
      <w:r>
        <w:rPr>
          <w:rFonts w:ascii="Helvetica Neue" w:hAnsi="Helvetica Neue" w:cs="Helvetica Neue"/>
          <w:b/>
          <w:bCs/>
          <w:color w:val="757575"/>
          <w:sz w:val="44"/>
          <w:szCs w:val="44"/>
        </w:rPr>
        <w:t>Assessment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360"/>
        <w:gridCol w:w="360"/>
        <w:gridCol w:w="360"/>
        <w:gridCol w:w="360"/>
        <w:gridCol w:w="460"/>
        <w:gridCol w:w="480"/>
        <w:gridCol w:w="560"/>
        <w:gridCol w:w="560"/>
      </w:tblGrid>
      <w:tr w:rsidR="008C45C1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Criterion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A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B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C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D</w:t>
            </w:r>
          </w:p>
        </w:tc>
        <w:tc>
          <w:tcPr>
            <w:tcW w:w="4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E (SL)</w:t>
            </w:r>
          </w:p>
        </w:tc>
        <w:tc>
          <w:tcPr>
            <w:tcW w:w="4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E (HL)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Total (SL)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shd w:val="clear" w:color="auto" w:fill="E7E7E7"/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b/>
                <w:bCs/>
                <w:color w:val="757575"/>
              </w:rPr>
            </w:pPr>
            <w:r>
              <w:rPr>
                <w:rFonts w:ascii="Helvetica Neue" w:hAnsi="Helvetica Neue" w:cs="Helvetica Neue"/>
                <w:b/>
                <w:bCs/>
                <w:color w:val="757575"/>
              </w:rPr>
              <w:t>Total (HL)</w:t>
            </w:r>
          </w:p>
        </w:tc>
      </w:tr>
      <w:tr w:rsidR="008C45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Achievement level awarded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3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3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1</w:t>
            </w:r>
          </w:p>
        </w:tc>
        <w:tc>
          <w:tcPr>
            <w:tcW w:w="4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6</w:t>
            </w:r>
          </w:p>
        </w:tc>
        <w:tc>
          <w:tcPr>
            <w:tcW w:w="4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4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15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13</w:t>
            </w:r>
          </w:p>
        </w:tc>
      </w:tr>
      <w:tr w:rsidR="008C45C1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Maximum possible achievement level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4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3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4</w:t>
            </w:r>
          </w:p>
        </w:tc>
        <w:tc>
          <w:tcPr>
            <w:tcW w:w="3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3</w:t>
            </w:r>
          </w:p>
        </w:tc>
        <w:tc>
          <w:tcPr>
            <w:tcW w:w="4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6</w:t>
            </w:r>
          </w:p>
        </w:tc>
        <w:tc>
          <w:tcPr>
            <w:tcW w:w="48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6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20</w:t>
            </w:r>
          </w:p>
        </w:tc>
        <w:tc>
          <w:tcPr>
            <w:tcW w:w="560" w:type="dxa"/>
            <w:tcBorders>
              <w:top w:val="single" w:sz="8" w:space="0" w:color="757575"/>
              <w:left w:val="single" w:sz="8" w:space="0" w:color="757575"/>
              <w:bottom w:val="single" w:sz="8" w:space="0" w:color="757575"/>
              <w:right w:val="single" w:sz="8" w:space="0" w:color="757575"/>
            </w:tcBorders>
            <w:tcMar>
              <w:top w:w="100" w:type="nil"/>
              <w:left w:w="80" w:type="nil"/>
              <w:bottom w:w="80" w:type="nil"/>
              <w:right w:w="200" w:type="nil"/>
            </w:tcMar>
          </w:tcPr>
          <w:p w:rsidR="008C45C1" w:rsidRDefault="008C45C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Helvetica Neue" w:hAnsi="Helvetica Neue" w:cs="Helvetica Neue"/>
                <w:color w:val="1A1A1A"/>
              </w:rPr>
            </w:pPr>
            <w:r>
              <w:rPr>
                <w:rFonts w:ascii="Helvetica Neue" w:hAnsi="Helvetica Neue" w:cs="Helvetica Neue"/>
                <w:color w:val="1A1A1A"/>
              </w:rPr>
              <w:t>20</w:t>
            </w:r>
          </w:p>
        </w:tc>
      </w:tr>
    </w:tbl>
    <w:p w:rsidR="008C45C1" w:rsidRDefault="008C45C1" w:rsidP="008C45C1">
      <w:pPr>
        <w:widowControl w:val="0"/>
        <w:autoSpaceDE w:val="0"/>
        <w:autoSpaceDN w:val="0"/>
        <w:adjustRightInd w:val="0"/>
        <w:spacing w:after="420"/>
        <w:rPr>
          <w:rFonts w:ascii="Helvetica Neue" w:hAnsi="Helvetica Neue" w:cs="Helvetica Neue"/>
          <w:b/>
          <w:bCs/>
          <w:color w:val="757575"/>
          <w:sz w:val="44"/>
          <w:szCs w:val="44"/>
        </w:rPr>
      </w:pPr>
      <w:r>
        <w:rPr>
          <w:rFonts w:ascii="Helvetica Neue" w:hAnsi="Helvetica Neue" w:cs="Helvetica Neue"/>
          <w:b/>
          <w:bCs/>
          <w:color w:val="757575"/>
          <w:sz w:val="44"/>
          <w:szCs w:val="44"/>
        </w:rPr>
        <w:t>Comments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A: Communication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A2—The work is coherent but not well organized. There is no aim or rationale in the introduction.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B: Mathematical presentation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B3—There is good definition of terms.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C: Personal engagement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 xml:space="preserve">C3—While there was not “abundant” evidence, there was sufficient to award level 3: for example, making her own code (page 9); learning and describing unfamiliar </w:t>
      </w:r>
      <w:proofErr w:type="spellStart"/>
      <w:r>
        <w:rPr>
          <w:rFonts w:ascii="Helvetica Neue" w:hAnsi="Helvetica Neue" w:cs="Helvetica Neue"/>
          <w:color w:val="1A1A1A"/>
        </w:rPr>
        <w:t>maths</w:t>
      </w:r>
      <w:proofErr w:type="spellEnd"/>
      <w:r>
        <w:rPr>
          <w:rFonts w:ascii="Helvetica Neue" w:hAnsi="Helvetica Neue" w:cs="Helvetica Neue"/>
          <w:color w:val="1A1A1A"/>
        </w:rPr>
        <w:t>; and timing herself doing the spreadsheet (page 9).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Criterion D: Reflection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D1—Only limited reflection, some on the significance of the timing of the spreadsheets.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SL Criterion E: Use of mathematics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20"/>
        <w:rPr>
          <w:rFonts w:ascii="Helvetica Neue" w:hAnsi="Helvetica Neue" w:cs="Helvetica Neue"/>
          <w:color w:val="1A1A1A"/>
        </w:rPr>
      </w:pPr>
      <w:r>
        <w:rPr>
          <w:rFonts w:ascii="Helvetica Neue" w:hAnsi="Helvetica Neue" w:cs="Helvetica Neue"/>
          <w:color w:val="1A1A1A"/>
        </w:rPr>
        <w:t>E6—She used mathematics beyond the syllabus (derangements). Her understanding of this was verified in discussions.</w:t>
      </w:r>
    </w:p>
    <w:p w:rsidR="008C45C1" w:rsidRDefault="008C45C1" w:rsidP="008C45C1">
      <w:pPr>
        <w:widowControl w:val="0"/>
        <w:autoSpaceDE w:val="0"/>
        <w:autoSpaceDN w:val="0"/>
        <w:adjustRightInd w:val="0"/>
        <w:spacing w:after="180"/>
        <w:rPr>
          <w:rFonts w:ascii="Helvetica Neue" w:hAnsi="Helvetica Neue" w:cs="Helvetica Neue"/>
          <w:b/>
          <w:bCs/>
          <w:color w:val="0E0E0E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0E0E0E"/>
          <w:sz w:val="36"/>
          <w:szCs w:val="36"/>
        </w:rPr>
        <w:t>HL Criterion E: Use of mathematics</w:t>
      </w:r>
    </w:p>
    <w:p w:rsidR="008C45C1" w:rsidRPr="008C45C1" w:rsidRDefault="008C45C1" w:rsidP="008C45C1">
      <w:r>
        <w:rPr>
          <w:rFonts w:ascii="Helvetica Neue" w:hAnsi="Helvetica Neue" w:cs="Helvetica Neue"/>
          <w:color w:val="1A1A1A"/>
        </w:rPr>
        <w:t>E4—This is sophisticated but descriptive rather than rigorous mathematics.</w:t>
      </w:r>
      <w:bookmarkStart w:id="0" w:name="_GoBack"/>
      <w:bookmarkEnd w:id="0"/>
    </w:p>
    <w:sectPr w:rsidR="008C45C1" w:rsidRPr="008C45C1" w:rsidSect="003007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1"/>
    <w:rsid w:val="0030077A"/>
    <w:rsid w:val="00663E97"/>
    <w:rsid w:val="008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FE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9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5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E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9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5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5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Macintosh Word</Application>
  <DocSecurity>0</DocSecurity>
  <Lines>7</Lines>
  <Paragraphs>2</Paragraphs>
  <ScaleCrop>false</ScaleCrop>
  <Company>United Nations International School of Hanoi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DeAbreu</dc:creator>
  <cp:keywords/>
  <dc:description/>
  <cp:lastModifiedBy>Robert DeAbreu</cp:lastModifiedBy>
  <cp:revision>1</cp:revision>
  <dcterms:created xsi:type="dcterms:W3CDTF">2013-08-06T03:59:00Z</dcterms:created>
  <dcterms:modified xsi:type="dcterms:W3CDTF">2013-08-06T04:00:00Z</dcterms:modified>
</cp:coreProperties>
</file>